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13</w:t>
      </w:r>
    </w:p>
    <w:p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реализации муниципальной программы </w:t>
      </w:r>
    </w:p>
    <w:p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/>
          <w:color w:val="000000" w:themeColor="text1"/>
          <w:sz w:val="24"/>
          <w:szCs w:val="24"/>
        </w:rPr>
        <w:t>Эффективное управление муниципальными финансами ЗАТО Северск» на 2025 - 2027 годы за 2025 год</w:t>
      </w:r>
    </w:p>
    <w:p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За отчетный период реализации муниципальной программы</w:t>
      </w:r>
      <w:r>
        <w:rPr>
          <w:rFonts w:ascii="Times New Roman CYR" w:eastAsia="Times New Roman" w:hAnsi="Times New Roman CYR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«Эффективное управление муниципальными финансами ЗАТО Северск» на 2025 - 2027 годы (далее – Программа)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Финансовым управлением, как ответственным исполнителем, проводились мероприятия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по достижению цели Программы - обеспечению сбалансированности и устойчивости бюджета ЗАТО Северск, повышению качества управления муниципальными финансами, а также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br/>
        <w:t>по решению следующих задач:</w:t>
      </w:r>
    </w:p>
    <w:p>
      <w:pPr>
        <w:pStyle w:val="a3"/>
        <w:tabs>
          <w:tab w:val="left" w:pos="0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1) обеспечению эффективного управления средствами бюджета ЗАТО Северск на уровне участников бюджетного процесса;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2) обеспечению сбалансированности и недопущения превышения ограничений по размеру муниципального долга бюджета ЗАТО Северск.</w:t>
      </w:r>
    </w:p>
    <w:p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Каждая из указанных задач реализовывалась в рамках утвержденных подпрограмм и соответствующих комплексов процессных мероприятий (далее – КПМ).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 Финансовым управлением обеспечено качественное исполнение задач      в рамках реализации обеспечивающей подпрограммы в части соблюдения бюджетного законодательства, обеспечения исполнения бюджетных обязательств, планирования, ведения бюджетного учета, составления отчетности, формирования бюджетной отчетности </w:t>
      </w:r>
      <w:r>
        <w:rPr>
          <w:rFonts w:ascii="Times New Roman" w:hAnsi="Times New Roman" w:cs="Times New Roman"/>
          <w:sz w:val="24"/>
          <w:szCs w:val="24"/>
        </w:rPr>
        <w:br/>
        <w:t>и исполнения бюджета.</w:t>
      </w:r>
    </w:p>
    <w:p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 2025 год по Программе предусмотрено бюджетных ассигнований в объеме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74 719,05 тыс. руб. Реализовано мероприятий на сумму 73 858,81 тыс. руб., что составило 99% от плановых назначений. Цель Программы достигнута в полном объеме. 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Оценка результатов реализации мер правового регулирования в сфере реализации Программы отражена в приложении 10. 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Перечень документов о внесении изменений в Программу указан приложении 8.</w:t>
      </w:r>
    </w:p>
    <w:p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рамках подпрограммы 1 «Повышение эффективности управления муниципальными финансами» </w:t>
      </w:r>
      <w:bookmarkStart w:id="0" w:name="_Hlk190960217"/>
      <w:r>
        <w:rPr>
          <w:rFonts w:ascii="Times New Roman" w:eastAsia="Times New Roman" w:hAnsi="Times New Roman" w:cs="Times New Roman"/>
          <w:sz w:val="24"/>
          <w:szCs w:val="24"/>
        </w:rPr>
        <w:t>реализовывались задачи подпрограммы:</w:t>
      </w:r>
    </w:p>
    <w:p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– повышение качества финансового менеджмента главных администраторов средств бюджета ЗАТО Северск;</w:t>
      </w:r>
      <w:bookmarkStart w:id="1" w:name="_GoBack"/>
      <w:bookmarkEnd w:id="1"/>
    </w:p>
    <w:p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– совершенствование информационно-технического сопровождения бюджетного процесса на территории ЗАТО Северск.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190960260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Результативность достижения целевых показателей подпрограммы 1 – эффективная. Значения целевых показателей (индикаторов) результативности подпрограммы 1 указаны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приложении 6.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Плановый объем бюджетных ассигнований подпрограммы 1 составлял 1 746,19 тыс. руб. Фактическое освоение составило 1 605,66 тыс.  руб. (92%). Незначительное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недоосвоение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средств возникло в результате экономии при применении конкурентных способов определения поставщиков.</w:t>
      </w:r>
    </w:p>
    <w:bookmarkEnd w:id="2"/>
    <w:p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Мероприятия проводились в рамках двух КПМ:</w:t>
      </w:r>
    </w:p>
    <w:p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Повышение качества финансового менеджмента главных администраторов средств бюджета ЗАТО Северск. Мероприятие выполнено без финансирования;</w:t>
      </w:r>
    </w:p>
    <w:p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Совершенствование информационно-технического сопровождения бюджетного процесса на территории ЗАТО Северск. Плановый объем бюджетных ассигнований подпрограммы 1 составлял 1 746,19 тыс. руб. Фактическое освоение составило 1 605,66 тыс.  руб. (92%). </w:t>
      </w:r>
    </w:p>
    <w:p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 рамках подпрограммы 2 «Обеспечение долговой устойчивости бюджета ЗАТО Северск» реализовывалась задача подпрограммы -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эффективное управление муниципальным долгом ЗАТО Северск.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Результативность достижения целевых показателей подпрограммы 2 - высокая эффективность. Значения целевых показателей (индикаторов) результативности подпрограммы указаны в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приложении 7.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Фактические расходы на выполнение мероприятий подпрограммы соответствуют плановым и составили 34 907,39 тыс. руб. Освоение средств – 99%. </w:t>
      </w:r>
    </w:p>
    <w:p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Мероприятия проводились в рамках КПМ «Эффективное управление муниципальным долгом ЗАТО Северск».</w:t>
      </w: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рамках обеспечивающей подпрограммы осуществлялось финансирование деятельности Финансового управления Администрации ЗАТО Северск.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Плановый объем бюджетных ассигнований обеспечивающей подпрограммы составлял 37 780,60 тыс. руб. Фактическое освоение составило 37 345,76 тыс.  руб. (99%).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Незначительное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недоосвоение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средств возникло в результате экономии при применении конкурентных способов определения поставщиков.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Значения целевых показателей (индикаторов) результативности обеспечивающей подпрограммы указаны в приложении 2.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эффективности Программы определена в соответствии с постановлением Администрации ЗАТО Северск от 16.04.2015 № 707 «Об утверждении Порядка проведения оценки эффективности реализации муниципальных программ ЗАТО Северск» путем сопоставления: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 фактических и плановых значений целевых показателей (индикаторов) результативности Программы (приложение 1);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сведения о достижении целевых значений подпрограмм (приложения 2, 6, 7);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 фактических и плановых объемов финансирования за счет всех источников финансирования на реализацию Программы (приложение 5);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оценка эффективности средств Программы (приложение 4).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Степень достижения цели подпрограммы 1 равна 1, степень освоения средств – 0,92.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Степень достижения цели подпрограммы 2 равна 1, степень освоения средств – 0,99.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Степень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освоения средств </w:t>
      </w:r>
      <w:r>
        <w:rPr>
          <w:rFonts w:ascii="Times New Roman" w:eastAsia="Times New Roman" w:hAnsi="Times New Roman" w:cs="Times New Roman"/>
          <w:sz w:val="24"/>
          <w:szCs w:val="24"/>
        </w:rPr>
        <w:t>подпрограммы 3 равна 0,99.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Степень освоения средств Программы высокая и равна 0,99.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Степень достижения цели Программы, рассчитанная в соответствии с вышеуказанной методикой равна 1.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Проведенный анализ эффективности реализации Программы за 2025 год показал, что по шкале оценки эффективности достигнут самый высокий уровень (оценка 5 – высокая эффективность). </w:t>
      </w:r>
    </w:p>
    <w:p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Основных мероприятий программой не предусмотрено.</w:t>
      </w:r>
    </w:p>
    <w:p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Предложения о привлечении дополнительных источников финансирования или иных способах достижения программных целей отсутствуют.</w:t>
      </w: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/>
    <w:sectPr>
      <w:footerReference w:type="default" r:id="rId7"/>
      <w:pgSz w:w="11906" w:h="16838"/>
      <w:pgMar w:top="1134" w:right="567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</w:rPr>
    </w:pPr>
    <w:r>
      <w:rPr>
        <w:rFonts w:ascii="Times New Roman" w:eastAsia="Times New Roman" w:hAnsi="Times New Roman" w:cs="Times New Roman"/>
        <w:sz w:val="20"/>
        <w:szCs w:val="20"/>
      </w:rPr>
      <w:t>Внутренний номер: 0369596</w:t>
    </w:r>
  </w:p>
  <w:p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CA6C2B"/>
    <w:multiLevelType w:val="hybridMultilevel"/>
    <w:tmpl w:val="7144AC1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56CF03C3"/>
    <w:multiLevelType w:val="hybridMultilevel"/>
    <w:tmpl w:val="7898F318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72A87529"/>
    <w:multiLevelType w:val="hybridMultilevel"/>
    <w:tmpl w:val="8F3EA7D2"/>
    <w:lvl w:ilvl="0" w:tplc="F6F01F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B14F1B-8971-4B81-A9AB-7EE613DC9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table" w:styleId="a4">
    <w:name w:val="Table Grid"/>
    <w:basedOn w:val="a1"/>
    <w:uiPriority w:val="5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811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Прокофьева</dc:creator>
  <cp:keywords/>
  <dc:description/>
  <cp:lastModifiedBy>Ткачева Т.Н.</cp:lastModifiedBy>
  <cp:revision>6</cp:revision>
  <cp:lastPrinted>2025-02-26T10:41:00Z</cp:lastPrinted>
  <dcterms:created xsi:type="dcterms:W3CDTF">2026-02-17T11:43:00Z</dcterms:created>
  <dcterms:modified xsi:type="dcterms:W3CDTF">2026-02-25T11:07:00Z</dcterms:modified>
</cp:coreProperties>
</file>